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left"/>
      </w:pPr>
      <w:r>
        <w:t>Guest Room Supplies Pre-Purchase Site Review Checklist</w:t>
      </w:r>
    </w:p>
    <w:p>
      <w:pPr>
        <w:spacing w:after="160"/>
      </w:pPr>
      <w:r>
        <w:t>Use this record to verify field conditions before RFQ, sample approval, or purchase-order release. Attach evidence references and hold any item that can change fit, compatibility, quantity, delivery, installation, compliance, or operation.</w:t>
      </w:r>
    </w:p>
    <w:tbl>
      <w:tblPr>
        <w:tblW w:type="dxa" w:w="14400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D7DCE2"/>
          <w:left w:val="single" w:sz="4" w:space="0" w:color="D7DCE2"/>
          <w:bottom w:val="single" w:sz="4" w:space="0" w:color="D7DCE2"/>
          <w:right w:val="single" w:sz="4" w:space="0" w:color="D7DCE2"/>
          <w:insideH w:val="single" w:sz="4" w:space="0" w:color="D7DCE2"/>
          <w:insideV w:val="single" w:sz="4" w:space="0" w:color="D7DCE2"/>
        </w:tblBorders>
      </w:tblPr>
      <w:tblGrid>
        <w:gridCol w:w="1500"/>
        <w:gridCol w:w="5700"/>
        <w:gridCol w:w="1500"/>
        <w:gridCol w:w="5700"/>
      </w:tblGrid>
      <w:tr>
        <w:tc>
          <w:tcPr>
            <w:tcW w:type="dxa" w:w="1500"/>
            <w:shd w:fill="E8EEF5"/>
            <w:tcMar>
              <w:top w:w="70" w:type="dxa"/>
              <w:start w:w="100" w:type="dxa"/>
              <w:bottom w:w="70" w:type="dxa"/>
              <w:end w:w="10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hAnsi="Calibri"/>
                <w:b/>
                <w:sz w:val="17"/>
              </w:rPr>
              <w:t>Property / Project</w:t>
            </w:r>
          </w:p>
        </w:tc>
        <w:tc>
          <w:tcPr>
            <w:tcW w:type="dxa" w:w="5700"/>
            <w:tcMar>
              <w:top w:w="70" w:type="dxa"/>
              <w:start w:w="100" w:type="dxa"/>
              <w:bottom w:w="70" w:type="dxa"/>
              <w:end w:w="10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hAnsi="Calibri"/>
                <w:sz w:val="17"/>
              </w:rPr>
            </w:r>
          </w:p>
        </w:tc>
        <w:tc>
          <w:tcPr>
            <w:tcW w:type="dxa" w:w="1500"/>
            <w:shd w:fill="E8EEF5"/>
            <w:tcMar>
              <w:top w:w="70" w:type="dxa"/>
              <w:start w:w="100" w:type="dxa"/>
              <w:bottom w:w="70" w:type="dxa"/>
              <w:end w:w="10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hAnsi="Calibri"/>
                <w:b/>
                <w:sz w:val="17"/>
              </w:rPr>
              <w:t>Review date</w:t>
            </w:r>
          </w:p>
        </w:tc>
        <w:tc>
          <w:tcPr>
            <w:tcW w:type="dxa" w:w="5700"/>
            <w:tcMar>
              <w:top w:w="70" w:type="dxa"/>
              <w:start w:w="100" w:type="dxa"/>
              <w:bottom w:w="70" w:type="dxa"/>
              <w:end w:w="10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hAnsi="Calibri"/>
                <w:sz w:val="17"/>
              </w:rPr>
            </w:r>
          </w:p>
        </w:tc>
      </w:tr>
      <w:tr>
        <w:tc>
          <w:tcPr>
            <w:tcW w:type="dxa" w:w="1500"/>
            <w:shd w:fill="E8EEF5"/>
            <w:tcMar>
              <w:top w:w="70" w:type="dxa"/>
              <w:start w:w="100" w:type="dxa"/>
              <w:bottom w:w="70" w:type="dxa"/>
              <w:end w:w="10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hAnsi="Calibri"/>
                <w:b/>
                <w:sz w:val="17"/>
              </w:rPr>
              <w:t>Review lead</w:t>
            </w:r>
          </w:p>
        </w:tc>
        <w:tc>
          <w:tcPr>
            <w:tcW w:type="dxa" w:w="5700"/>
            <w:tcMar>
              <w:top w:w="70" w:type="dxa"/>
              <w:start w:w="100" w:type="dxa"/>
              <w:bottom w:w="70" w:type="dxa"/>
              <w:end w:w="10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hAnsi="Calibri"/>
                <w:sz w:val="17"/>
              </w:rPr>
            </w:r>
          </w:p>
        </w:tc>
        <w:tc>
          <w:tcPr>
            <w:tcW w:type="dxa" w:w="1500"/>
            <w:shd w:fill="E8EEF5"/>
            <w:tcMar>
              <w:top w:w="70" w:type="dxa"/>
              <w:start w:w="100" w:type="dxa"/>
              <w:bottom w:w="70" w:type="dxa"/>
              <w:end w:w="10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hAnsi="Calibri"/>
                <w:b/>
                <w:sz w:val="17"/>
              </w:rPr>
              <w:t>Document revision</w:t>
            </w:r>
          </w:p>
        </w:tc>
        <w:tc>
          <w:tcPr>
            <w:tcW w:type="dxa" w:w="5700"/>
            <w:tcMar>
              <w:top w:w="70" w:type="dxa"/>
              <w:start w:w="100" w:type="dxa"/>
              <w:bottom w:w="70" w:type="dxa"/>
              <w:end w:w="10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hAnsi="Calibri"/>
                <w:sz w:val="17"/>
              </w:rPr>
            </w:r>
          </w:p>
        </w:tc>
      </w:tr>
      <w:tr>
        <w:tc>
          <w:tcPr>
            <w:tcW w:type="dxa" w:w="1500"/>
            <w:shd w:fill="E8EEF5"/>
            <w:tcMar>
              <w:top w:w="70" w:type="dxa"/>
              <w:start w:w="100" w:type="dxa"/>
              <w:bottom w:w="70" w:type="dxa"/>
              <w:end w:w="10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hAnsi="Calibri"/>
                <w:b/>
                <w:sz w:val="17"/>
              </w:rPr>
              <w:t>Representative rooms</w:t>
            </w:r>
          </w:p>
        </w:tc>
        <w:tc>
          <w:tcPr>
            <w:tcW w:type="dxa" w:w="5700"/>
            <w:tcMar>
              <w:top w:w="70" w:type="dxa"/>
              <w:start w:w="100" w:type="dxa"/>
              <w:bottom w:w="70" w:type="dxa"/>
              <w:end w:w="10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hAnsi="Calibri"/>
                <w:sz w:val="17"/>
              </w:rPr>
            </w:r>
          </w:p>
        </w:tc>
        <w:tc>
          <w:tcPr>
            <w:tcW w:type="dxa" w:w="1500"/>
            <w:shd w:fill="E8EEF5"/>
            <w:tcMar>
              <w:top w:w="70" w:type="dxa"/>
              <w:start w:w="100" w:type="dxa"/>
              <w:bottom w:w="70" w:type="dxa"/>
              <w:end w:w="10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hAnsi="Calibri"/>
                <w:b/>
                <w:sz w:val="17"/>
              </w:rPr>
              <w:t>Target release gate</w:t>
            </w:r>
          </w:p>
        </w:tc>
        <w:tc>
          <w:tcPr>
            <w:tcW w:type="dxa" w:w="5700"/>
            <w:tcMar>
              <w:top w:w="70" w:type="dxa"/>
              <w:start w:w="100" w:type="dxa"/>
              <w:bottom w:w="70" w:type="dxa"/>
              <w:end w:w="100" w:type="dxa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hAnsi="Calibri"/>
                <w:sz w:val="17"/>
              </w:rPr>
              <w:t>RFQ / Sample / Purchase Order</w:t>
            </w:r>
          </w:p>
        </w:tc>
      </w:tr>
    </w:tbl>
    <w:p>
      <w:pPr>
        <w:pStyle w:val="Heading2"/>
      </w:pPr>
      <w:r>
        <w:t>Review record</w:t>
      </w:r>
    </w:p>
    <w:tbl>
      <w:tblPr>
        <w:tblW w:type="dxa" w:w="14400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C9D0D8"/>
          <w:left w:val="single" w:sz="4" w:space="0" w:color="C9D0D8"/>
          <w:bottom w:val="single" w:sz="4" w:space="0" w:color="C9D0D8"/>
          <w:right w:val="single" w:sz="4" w:space="0" w:color="C9D0D8"/>
          <w:insideH w:val="single" w:sz="4" w:space="0" w:color="C9D0D8"/>
          <w:insideV w:val="single" w:sz="4" w:space="0" w:color="C9D0D8"/>
        </w:tblBorders>
      </w:tblPr>
      <w:tblGrid>
        <w:gridCol w:w="500"/>
        <w:gridCol w:w="1650"/>
        <w:gridCol w:w="4550"/>
        <w:gridCol w:w="3500"/>
        <w:gridCol w:w="1900"/>
        <w:gridCol w:w="2300"/>
      </w:tblGrid>
      <w:tr>
        <w:trPr>
          <w:tblHeader/>
        </w:trPr>
        <w:tc>
          <w:tcPr>
            <w:tcW w:type="dxa" w:w="500"/>
            <w:shd w:fill="1F4D78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/>
                <w:b/>
                <w:color w:val="FFFFFF"/>
                <w:sz w:val="16"/>
              </w:rPr>
              <w:t>ID</w:t>
            </w:r>
          </w:p>
        </w:tc>
        <w:tc>
          <w:tcPr>
            <w:tcW w:type="dxa" w:w="1650"/>
            <w:shd w:fill="1F4D78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/>
                <w:b/>
                <w:color w:val="FFFFFF"/>
                <w:sz w:val="16"/>
              </w:rPr>
              <w:t>Review area</w:t>
            </w:r>
          </w:p>
        </w:tc>
        <w:tc>
          <w:tcPr>
            <w:tcW w:type="dxa" w:w="4550"/>
            <w:shd w:fill="1F4D78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/>
                <w:b/>
                <w:color w:val="FFFFFF"/>
                <w:sz w:val="16"/>
              </w:rPr>
              <w:t>Field check</w:t>
            </w:r>
          </w:p>
        </w:tc>
        <w:tc>
          <w:tcPr>
            <w:tcW w:type="dxa" w:w="3500"/>
            <w:shd w:fill="1F4D78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/>
                <w:b/>
                <w:color w:val="FFFFFF"/>
                <w:sz w:val="16"/>
              </w:rPr>
              <w:t>Acceptance evidence</w:t>
            </w:r>
          </w:p>
        </w:tc>
        <w:tc>
          <w:tcPr>
            <w:tcW w:type="dxa" w:w="1900"/>
            <w:shd w:fill="1F4D78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/>
                <w:b/>
                <w:color w:val="FFFFFF"/>
                <w:sz w:val="16"/>
              </w:rPr>
              <w:t>Primary owner</w:t>
            </w:r>
          </w:p>
        </w:tc>
        <w:tc>
          <w:tcPr>
            <w:tcW w:type="dxa" w:w="2300"/>
            <w:shd w:fill="1F4D78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/>
                <w:b/>
                <w:color w:val="FFFFFF"/>
                <w:sz w:val="16"/>
              </w:rPr>
              <w:t>Status / notes</w:t>
            </w:r>
          </w:p>
        </w:tc>
      </w:tr>
      <w:tr>
        <w:tc>
          <w:tcPr>
            <w:tcW w:type="dxa" w:w="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/>
                <w:sz w:val="15"/>
              </w:rPr>
              <w:t>1</w:t>
            </w:r>
          </w:p>
        </w:tc>
        <w:tc>
          <w:tcPr>
            <w:tcW w:type="dxa" w:w="16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Document control</w:t>
            </w:r>
          </w:p>
        </w:tc>
        <w:tc>
          <w:tcPr>
            <w:tcW w:type="dxa" w:w="45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Current drawing, schedule, item code, room code, and revision agree</w:t>
            </w:r>
          </w:p>
        </w:tc>
        <w:tc>
          <w:tcPr>
            <w:tcW w:type="dxa" w:w="3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Controlled review pack and revision register</w:t>
            </w:r>
          </w:p>
        </w:tc>
        <w:tc>
          <w:tcPr>
            <w:tcW w:type="dxa" w:w="19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Project manager</w:t>
            </w:r>
          </w:p>
        </w:tc>
        <w:tc>
          <w:tcPr>
            <w:tcW w:type="dxa" w:w="23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☐ Verified  ☐ Open issue  ☐ Hold  ☐ N/A</w:t>
              <w:br/>
              <w:t>Owner / due / evidence / notes:</w:t>
            </w:r>
          </w:p>
        </w:tc>
      </w:tr>
      <w:tr>
        <w:tc>
          <w:tcPr>
            <w:tcW w:type="dxa" w:w="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/>
                <w:sz w:val="15"/>
              </w:rPr>
              <w:t>2</w:t>
            </w:r>
          </w:p>
        </w:tc>
        <w:tc>
          <w:tcPr>
            <w:tcW w:type="dxa" w:w="16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Room coverage</w:t>
            </w:r>
          </w:p>
        </w:tc>
        <w:tc>
          <w:tcPr>
            <w:tcW w:type="dxa" w:w="45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Every materially different room type and known exception is included</w:t>
            </w:r>
          </w:p>
        </w:tc>
        <w:tc>
          <w:tcPr>
            <w:tcW w:type="dxa" w:w="3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Room-type sampling list</w:t>
            </w:r>
          </w:p>
        </w:tc>
        <w:tc>
          <w:tcPr>
            <w:tcW w:type="dxa" w:w="19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Operations / design</w:t>
            </w:r>
          </w:p>
        </w:tc>
        <w:tc>
          <w:tcPr>
            <w:tcW w:type="dxa" w:w="23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☐ Verified  ☐ Open issue  ☐ Hold  ☐ N/A</w:t>
              <w:br/>
              <w:t>Owner / due / evidence / notes:</w:t>
            </w:r>
          </w:p>
        </w:tc>
      </w:tr>
      <w:tr>
        <w:tc>
          <w:tcPr>
            <w:tcW w:type="dxa" w:w="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/>
                <w:sz w:val="15"/>
              </w:rPr>
              <w:t>3</w:t>
            </w:r>
          </w:p>
        </w:tc>
        <w:tc>
          <w:tcPr>
            <w:tcW w:type="dxa" w:w="16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Existing vs. future condition</w:t>
            </w:r>
          </w:p>
        </w:tc>
        <w:tc>
          <w:tcPr>
            <w:tcW w:type="dxa" w:w="45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Finished, unfinished, temporary, and scheduled-to-change conditions are identified</w:t>
            </w:r>
          </w:p>
        </w:tc>
        <w:tc>
          <w:tcPr>
            <w:tcW w:type="dxa" w:w="3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Status note linked to milestone</w:t>
            </w:r>
          </w:p>
        </w:tc>
        <w:tc>
          <w:tcPr>
            <w:tcW w:type="dxa" w:w="19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Project manager</w:t>
            </w:r>
          </w:p>
        </w:tc>
        <w:tc>
          <w:tcPr>
            <w:tcW w:type="dxa" w:w="23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☐ Verified  ☐ Open issue  ☐ Hold  ☐ N/A</w:t>
              <w:br/>
              <w:t>Owner / due / evidence / notes:</w:t>
            </w:r>
          </w:p>
        </w:tc>
      </w:tr>
      <w:tr>
        <w:tc>
          <w:tcPr>
            <w:tcW w:type="dxa" w:w="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/>
                <w:sz w:val="15"/>
              </w:rPr>
              <w:t>4</w:t>
            </w:r>
          </w:p>
        </w:tc>
        <w:tc>
          <w:tcPr>
            <w:tcW w:type="dxa" w:w="16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Niche and casegoods</w:t>
            </w:r>
          </w:p>
        </w:tc>
        <w:tc>
          <w:tcPr>
            <w:tcW w:type="dxa" w:w="45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Finished opening width, height, depth, level, squareness, and ventilation are verified</w:t>
            </w:r>
          </w:p>
        </w:tc>
        <w:tc>
          <w:tcPr>
            <w:tcW w:type="dxa" w:w="3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Dimensioned photograph or drawing markup</w:t>
            </w:r>
          </w:p>
        </w:tc>
        <w:tc>
          <w:tcPr>
            <w:tcW w:type="dxa" w:w="19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Design / engineering</w:t>
            </w:r>
          </w:p>
        </w:tc>
        <w:tc>
          <w:tcPr>
            <w:tcW w:type="dxa" w:w="23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☐ Verified  ☐ Open issue  ☐ Hold  ☐ N/A</w:t>
              <w:br/>
              <w:t>Owner / due / evidence / notes:</w:t>
            </w:r>
          </w:p>
        </w:tc>
      </w:tr>
      <w:tr>
        <w:tc>
          <w:tcPr>
            <w:tcW w:type="dxa" w:w="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/>
                <w:sz w:val="15"/>
              </w:rPr>
              <w:t>5</w:t>
            </w:r>
          </w:p>
        </w:tc>
        <w:tc>
          <w:tcPr>
            <w:tcW w:type="dxa" w:w="16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Counter and shelf placement</w:t>
            </w:r>
          </w:p>
        </w:tc>
        <w:tc>
          <w:tcPr>
            <w:tcW w:type="dxa" w:w="45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Footprint, edge clearance, stability, heat, splash, and cleaning access are confirmed</w:t>
            </w:r>
          </w:p>
        </w:tc>
        <w:tc>
          <w:tcPr>
            <w:tcW w:type="dxa" w:w="3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Placement test with approved sample or template</w:t>
            </w:r>
          </w:p>
        </w:tc>
        <w:tc>
          <w:tcPr>
            <w:tcW w:type="dxa" w:w="19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Housekeeping / design</w:t>
            </w:r>
          </w:p>
        </w:tc>
        <w:tc>
          <w:tcPr>
            <w:tcW w:type="dxa" w:w="23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☐ Verified  ☐ Open issue  ☐ Hold  ☐ N/A</w:t>
              <w:br/>
              <w:t>Owner / due / evidence / notes:</w:t>
            </w:r>
          </w:p>
        </w:tc>
      </w:tr>
      <w:tr>
        <w:tc>
          <w:tcPr>
            <w:tcW w:type="dxa" w:w="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/>
                <w:sz w:val="15"/>
              </w:rPr>
              <w:t>6</w:t>
            </w:r>
          </w:p>
        </w:tc>
        <w:tc>
          <w:tcPr>
            <w:tcW w:type="dxa" w:w="16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Doors and moving elements</w:t>
            </w:r>
          </w:p>
        </w:tc>
        <w:tc>
          <w:tcPr>
            <w:tcW w:type="dxa" w:w="45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Product does not conflict with doors, drawers, curtains, screens, hinges, or handles</w:t>
            </w:r>
          </w:p>
        </w:tc>
        <w:tc>
          <w:tcPr>
            <w:tcW w:type="dxa" w:w="3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Swing and movement test record</w:t>
            </w:r>
          </w:p>
        </w:tc>
        <w:tc>
          <w:tcPr>
            <w:tcW w:type="dxa" w:w="19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Design</w:t>
            </w:r>
          </w:p>
        </w:tc>
        <w:tc>
          <w:tcPr>
            <w:tcW w:type="dxa" w:w="23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☐ Verified  ☐ Open issue  ☐ Hold  ☐ N/A</w:t>
              <w:br/>
              <w:t>Owner / due / evidence / notes:</w:t>
            </w:r>
          </w:p>
        </w:tc>
      </w:tr>
      <w:tr>
        <w:tc>
          <w:tcPr>
            <w:tcW w:type="dxa" w:w="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/>
                <w:sz w:val="15"/>
              </w:rPr>
              <w:t>7</w:t>
            </w:r>
          </w:p>
        </w:tc>
        <w:tc>
          <w:tcPr>
            <w:tcW w:type="dxa" w:w="16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Circulation</w:t>
            </w:r>
          </w:p>
        </w:tc>
        <w:tc>
          <w:tcPr>
            <w:tcW w:type="dxa" w:w="45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Placement preserves required circulation and normal luggage use</w:t>
            </w:r>
          </w:p>
        </w:tc>
        <w:tc>
          <w:tcPr>
            <w:tcW w:type="dxa" w:w="3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Annotated plan and field photograph</w:t>
            </w:r>
          </w:p>
        </w:tc>
        <w:tc>
          <w:tcPr>
            <w:tcW w:type="dxa" w:w="19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Design / accessibility reviewer</w:t>
            </w:r>
          </w:p>
        </w:tc>
        <w:tc>
          <w:tcPr>
            <w:tcW w:type="dxa" w:w="23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☐ Verified  ☐ Open issue  ☐ Hold  ☐ N/A</w:t>
              <w:br/>
              <w:t>Owner / due / evidence / notes:</w:t>
            </w:r>
          </w:p>
        </w:tc>
      </w:tr>
      <w:tr>
        <w:tc>
          <w:tcPr>
            <w:tcW w:type="dxa" w:w="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/>
                <w:sz w:val="15"/>
              </w:rPr>
              <w:t>8</w:t>
            </w:r>
          </w:p>
        </w:tc>
        <w:tc>
          <w:tcPr>
            <w:tcW w:type="dxa" w:w="16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Guest reach and operation</w:t>
            </w:r>
          </w:p>
        </w:tc>
        <w:tc>
          <w:tcPr>
            <w:tcW w:type="dxa" w:w="45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Controls, handles, refills, and removable parts can be reached and operated as required</w:t>
            </w:r>
          </w:p>
        </w:tc>
        <w:tc>
          <w:tcPr>
            <w:tcW w:type="dxa" w:w="3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Full installed-arrangement review</w:t>
            </w:r>
          </w:p>
        </w:tc>
        <w:tc>
          <w:tcPr>
            <w:tcW w:type="dxa" w:w="19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Accessibility reviewer / operations</w:t>
            </w:r>
          </w:p>
        </w:tc>
        <w:tc>
          <w:tcPr>
            <w:tcW w:type="dxa" w:w="23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☐ Verified  ☐ Open issue  ☐ Hold  ☐ N/A</w:t>
              <w:br/>
              <w:t>Owner / due / evidence / notes:</w:t>
            </w:r>
          </w:p>
        </w:tc>
      </w:tr>
      <w:tr>
        <w:tc>
          <w:tcPr>
            <w:tcW w:type="dxa" w:w="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/>
                <w:sz w:val="15"/>
              </w:rPr>
              <w:t>9</w:t>
            </w:r>
          </w:p>
        </w:tc>
        <w:tc>
          <w:tcPr>
            <w:tcW w:type="dxa" w:w="16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Wall and backing</w:t>
            </w:r>
          </w:p>
        </w:tc>
        <w:tc>
          <w:tcPr>
            <w:tcW w:type="dxa" w:w="45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Substrate, backing, load, fixing zone, and permitted drilling are confirmed</w:t>
            </w:r>
          </w:p>
        </w:tc>
        <w:tc>
          <w:tcPr>
            <w:tcW w:type="dxa" w:w="3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Installer-approved fixing detail</w:t>
            </w:r>
          </w:p>
        </w:tc>
        <w:tc>
          <w:tcPr>
            <w:tcW w:type="dxa" w:w="19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Contractor / engineering</w:t>
            </w:r>
          </w:p>
        </w:tc>
        <w:tc>
          <w:tcPr>
            <w:tcW w:type="dxa" w:w="23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☐ Verified  ☐ Open issue  ☐ Hold  ☐ N/A</w:t>
              <w:br/>
              <w:t>Owner / due / evidence / notes:</w:t>
            </w:r>
          </w:p>
        </w:tc>
      </w:tr>
      <w:tr>
        <w:tc>
          <w:tcPr>
            <w:tcW w:type="dxa" w:w="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/>
                <w:sz w:val="15"/>
              </w:rPr>
              <w:t>10</w:t>
            </w:r>
          </w:p>
        </w:tc>
        <w:tc>
          <w:tcPr>
            <w:tcW w:type="dxa" w:w="16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Waterproofing and wet zones</w:t>
            </w:r>
          </w:p>
        </w:tc>
        <w:tc>
          <w:tcPr>
            <w:tcW w:type="dxa" w:w="45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Penetration limits, seals, splash exposure, and making-good responsibility are defined</w:t>
            </w:r>
          </w:p>
        </w:tc>
        <w:tc>
          <w:tcPr>
            <w:tcW w:type="dxa" w:w="3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Approved wet-area installation detail</w:t>
            </w:r>
          </w:p>
        </w:tc>
        <w:tc>
          <w:tcPr>
            <w:tcW w:type="dxa" w:w="19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Contractor / design</w:t>
            </w:r>
          </w:p>
        </w:tc>
        <w:tc>
          <w:tcPr>
            <w:tcW w:type="dxa" w:w="23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☐ Verified  ☐ Open issue  ☐ Hold  ☐ N/A</w:t>
              <w:br/>
              <w:t>Owner / due / evidence / notes:</w:t>
            </w:r>
          </w:p>
        </w:tc>
      </w:tr>
      <w:tr>
        <w:tc>
          <w:tcPr>
            <w:tcW w:type="dxa" w:w="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/>
                <w:sz w:val="15"/>
              </w:rPr>
              <w:t>11</w:t>
            </w:r>
          </w:p>
        </w:tc>
        <w:tc>
          <w:tcPr>
            <w:tcW w:type="dxa" w:w="16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Electrical supply</w:t>
            </w:r>
          </w:p>
        </w:tc>
        <w:tc>
          <w:tcPr>
            <w:tcW w:type="dxa" w:w="45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Voltage, frequency, receptacle, circuit, switching, and outlet position are verified</w:t>
            </w:r>
          </w:p>
        </w:tc>
        <w:tc>
          <w:tcPr>
            <w:tcW w:type="dxa" w:w="3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Engineer-approved connection schedule</w:t>
            </w:r>
          </w:p>
        </w:tc>
        <w:tc>
          <w:tcPr>
            <w:tcW w:type="dxa" w:w="19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Engineering</w:t>
            </w:r>
          </w:p>
        </w:tc>
        <w:tc>
          <w:tcPr>
            <w:tcW w:type="dxa" w:w="23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☐ Verified  ☐ Open issue  ☐ Hold  ☐ N/A</w:t>
              <w:br/>
              <w:t>Owner / due / evidence / notes:</w:t>
            </w:r>
          </w:p>
        </w:tc>
      </w:tr>
      <w:tr>
        <w:tc>
          <w:tcPr>
            <w:tcW w:type="dxa" w:w="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/>
                <w:sz w:val="15"/>
              </w:rPr>
              <w:t>12</w:t>
            </w:r>
          </w:p>
        </w:tc>
        <w:tc>
          <w:tcPr>
            <w:tcW w:type="dxa" w:w="16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Cord and reset access</w:t>
            </w:r>
          </w:p>
        </w:tc>
        <w:tc>
          <w:tcPr>
            <w:tcW w:type="dxa" w:w="45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Cord length, routing, isolation, reset, replacement, and cleaning access are workable</w:t>
            </w:r>
          </w:p>
        </w:tc>
        <w:tc>
          <w:tcPr>
            <w:tcW w:type="dxa" w:w="3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Operational placement trial</w:t>
            </w:r>
          </w:p>
        </w:tc>
        <w:tc>
          <w:tcPr>
            <w:tcW w:type="dxa" w:w="19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Engineering / housekeeping</w:t>
            </w:r>
          </w:p>
        </w:tc>
        <w:tc>
          <w:tcPr>
            <w:tcW w:type="dxa" w:w="23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☐ Verified  ☐ Open issue  ☐ Hold  ☐ N/A</w:t>
              <w:br/>
              <w:t>Owner / due / evidence / notes:</w:t>
            </w:r>
          </w:p>
        </w:tc>
      </w:tr>
      <w:tr>
        <w:tc>
          <w:tcPr>
            <w:tcW w:type="dxa" w:w="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/>
                <w:sz w:val="15"/>
              </w:rPr>
              <w:t>13</w:t>
            </w:r>
          </w:p>
        </w:tc>
        <w:tc>
          <w:tcPr>
            <w:tcW w:type="dxa" w:w="16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Ventilation and heat</w:t>
            </w:r>
          </w:p>
        </w:tc>
        <w:tc>
          <w:tcPr>
            <w:tcW w:type="dxa" w:w="45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Manufacturer clearances and room conditions can be achieved</w:t>
            </w:r>
          </w:p>
        </w:tc>
        <w:tc>
          <w:tcPr>
            <w:tcW w:type="dxa" w:w="3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Dimensioned clearance record</w:t>
            </w:r>
          </w:p>
        </w:tc>
        <w:tc>
          <w:tcPr>
            <w:tcW w:type="dxa" w:w="19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Engineering</w:t>
            </w:r>
          </w:p>
        </w:tc>
        <w:tc>
          <w:tcPr>
            <w:tcW w:type="dxa" w:w="23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☐ Verified  ☐ Open issue  ☐ Hold  ☐ N/A</w:t>
              <w:br/>
              <w:t>Owner / due / evidence / notes:</w:t>
            </w:r>
          </w:p>
        </w:tc>
      </w:tr>
      <w:tr>
        <w:tc>
          <w:tcPr>
            <w:tcW w:type="dxa" w:w="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/>
                <w:sz w:val="15"/>
              </w:rPr>
              <w:t>14</w:t>
            </w:r>
          </w:p>
        </w:tc>
        <w:tc>
          <w:tcPr>
            <w:tcW w:type="dxa" w:w="16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Data and system interface</w:t>
            </w:r>
          </w:p>
        </w:tc>
        <w:tc>
          <w:tcPr>
            <w:tcW w:type="dxa" w:w="45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Network, gateway, commissioning, credentials, privacy, updates, and offline behavior are assigned</w:t>
            </w:r>
          </w:p>
        </w:tc>
        <w:tc>
          <w:tcPr>
            <w:tcW w:type="dxa" w:w="3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Approved integration note</w:t>
            </w:r>
          </w:p>
        </w:tc>
        <w:tc>
          <w:tcPr>
            <w:tcW w:type="dxa" w:w="19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IT / engineering</w:t>
            </w:r>
          </w:p>
        </w:tc>
        <w:tc>
          <w:tcPr>
            <w:tcW w:type="dxa" w:w="23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☐ Verified  ☐ Open issue  ☐ Hold  ☐ N/A</w:t>
              <w:br/>
              <w:t>Owner / due / evidence / notes:</w:t>
            </w:r>
          </w:p>
        </w:tc>
      </w:tr>
      <w:tr>
        <w:tc>
          <w:tcPr>
            <w:tcW w:type="dxa" w:w="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/>
                <w:sz w:val="15"/>
              </w:rPr>
              <w:t>15</w:t>
            </w:r>
          </w:p>
        </w:tc>
        <w:tc>
          <w:tcPr>
            <w:tcW w:type="dxa" w:w="16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Product compatibility</w:t>
            </w:r>
          </w:p>
        </w:tc>
        <w:tc>
          <w:tcPr>
            <w:tcW w:type="dxa" w:w="45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Liners, refills, batteries, filters, brackets, trays, spare parts, and consumables match</w:t>
            </w:r>
          </w:p>
        </w:tc>
        <w:tc>
          <w:tcPr>
            <w:tcW w:type="dxa" w:w="3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Compatibility schedule and sample references</w:t>
            </w:r>
          </w:p>
        </w:tc>
        <w:tc>
          <w:tcPr>
            <w:tcW w:type="dxa" w:w="19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Procurement / operations</w:t>
            </w:r>
          </w:p>
        </w:tc>
        <w:tc>
          <w:tcPr>
            <w:tcW w:type="dxa" w:w="23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☐ Verified  ☐ Open issue  ☐ Hold  ☐ N/A</w:t>
              <w:br/>
              <w:t>Owner / due / evidence / notes:</w:t>
            </w:r>
          </w:p>
        </w:tc>
      </w:tr>
      <w:tr>
        <w:tc>
          <w:tcPr>
            <w:tcW w:type="dxa" w:w="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/>
                <w:sz w:val="15"/>
              </w:rPr>
              <w:t>16</w:t>
            </w:r>
          </w:p>
        </w:tc>
        <w:tc>
          <w:tcPr>
            <w:tcW w:type="dxa" w:w="16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Cleaning and chemicals</w:t>
            </w:r>
          </w:p>
        </w:tc>
        <w:tc>
          <w:tcPr>
            <w:tcW w:type="dxa" w:w="45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Actual cleaning tools, chemicals, temperatures, and handling method are suitable</w:t>
            </w:r>
          </w:p>
        </w:tc>
        <w:tc>
          <w:tcPr>
            <w:tcW w:type="dxa" w:w="3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Housekeeping trial and care approval</w:t>
            </w:r>
          </w:p>
        </w:tc>
        <w:tc>
          <w:tcPr>
            <w:tcW w:type="dxa" w:w="19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Housekeeping</w:t>
            </w:r>
          </w:p>
        </w:tc>
        <w:tc>
          <w:tcPr>
            <w:tcW w:type="dxa" w:w="23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☐ Verified  ☐ Open issue  ☐ Hold  ☐ N/A</w:t>
              <w:br/>
              <w:t>Owner / due / evidence / notes:</w:t>
            </w:r>
          </w:p>
        </w:tc>
      </w:tr>
      <w:tr>
        <w:tc>
          <w:tcPr>
            <w:tcW w:type="dxa" w:w="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/>
                <w:sz w:val="15"/>
              </w:rPr>
              <w:t>17</w:t>
            </w:r>
          </w:p>
        </w:tc>
        <w:tc>
          <w:tcPr>
            <w:tcW w:type="dxa" w:w="16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Maintenance access</w:t>
            </w:r>
          </w:p>
        </w:tc>
        <w:tc>
          <w:tcPr>
            <w:tcW w:type="dxa" w:w="45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Serviceable parts can be reached without destructive removal or excessive room downtime</w:t>
            </w:r>
          </w:p>
        </w:tc>
        <w:tc>
          <w:tcPr>
            <w:tcW w:type="dxa" w:w="3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Maintenance demonstration</w:t>
            </w:r>
          </w:p>
        </w:tc>
        <w:tc>
          <w:tcPr>
            <w:tcW w:type="dxa" w:w="19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Engineering</w:t>
            </w:r>
          </w:p>
        </w:tc>
        <w:tc>
          <w:tcPr>
            <w:tcW w:type="dxa" w:w="23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☐ Verified  ☐ Open issue  ☐ Hold  ☐ N/A</w:t>
              <w:br/>
              <w:t>Owner / due / evidence / notes:</w:t>
            </w:r>
          </w:p>
        </w:tc>
      </w:tr>
      <w:tr>
        <w:tc>
          <w:tcPr>
            <w:tcW w:type="dxa" w:w="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/>
                <w:sz w:val="15"/>
              </w:rPr>
              <w:t>18</w:t>
            </w:r>
          </w:p>
        </w:tc>
        <w:tc>
          <w:tcPr>
            <w:tcW w:type="dxa" w:w="16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Storage and pantry fit</w:t>
            </w:r>
          </w:p>
        </w:tc>
        <w:tc>
          <w:tcPr>
            <w:tcW w:type="dxa" w:w="45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Inner packs and cartons fit shelves, carts, lifts, and issue procedures</w:t>
            </w:r>
          </w:p>
        </w:tc>
        <w:tc>
          <w:tcPr>
            <w:tcW w:type="dxa" w:w="3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Pack dimensions and storage test</w:t>
            </w:r>
          </w:p>
        </w:tc>
        <w:tc>
          <w:tcPr>
            <w:tcW w:type="dxa" w:w="19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Housekeeping / stores</w:t>
            </w:r>
          </w:p>
        </w:tc>
        <w:tc>
          <w:tcPr>
            <w:tcW w:type="dxa" w:w="23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☐ Verified  ☐ Open issue  ☐ Hold  ☐ N/A</w:t>
              <w:br/>
              <w:t>Owner / due / evidence / notes:</w:t>
            </w:r>
          </w:p>
        </w:tc>
      </w:tr>
      <w:tr>
        <w:tc>
          <w:tcPr>
            <w:tcW w:type="dxa" w:w="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/>
                <w:sz w:val="15"/>
              </w:rPr>
              <w:t>19</w:t>
            </w:r>
          </w:p>
        </w:tc>
        <w:tc>
          <w:tcPr>
            <w:tcW w:type="dxa" w:w="16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Loading and delivery route</w:t>
            </w:r>
          </w:p>
        </w:tc>
        <w:tc>
          <w:tcPr>
            <w:tcW w:type="dxa" w:w="45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Dock, vehicle, unloading, corridor, elevator, doors, protection, and delivery hours are verified</w:t>
            </w:r>
          </w:p>
        </w:tc>
        <w:tc>
          <w:tcPr>
            <w:tcW w:type="dxa" w:w="3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Route survey with limiting dimensions</w:t>
            </w:r>
          </w:p>
        </w:tc>
        <w:tc>
          <w:tcPr>
            <w:tcW w:type="dxa" w:w="19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Logistics / contractor</w:t>
            </w:r>
          </w:p>
        </w:tc>
        <w:tc>
          <w:tcPr>
            <w:tcW w:type="dxa" w:w="23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☐ Verified  ☐ Open issue  ☐ Hold  ☐ N/A</w:t>
              <w:br/>
              <w:t>Owner / due / evidence / notes:</w:t>
            </w:r>
          </w:p>
        </w:tc>
      </w:tr>
      <w:tr>
        <w:tc>
          <w:tcPr>
            <w:tcW w:type="dxa" w:w="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/>
                <w:sz w:val="15"/>
              </w:rPr>
              <w:t>20</w:t>
            </w:r>
          </w:p>
        </w:tc>
        <w:tc>
          <w:tcPr>
            <w:tcW w:type="dxa" w:w="16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Installation workspace</w:t>
            </w:r>
          </w:p>
        </w:tc>
        <w:tc>
          <w:tcPr>
            <w:tcW w:type="dxa" w:w="45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Staging, assembly, charging, kitting, waste, and room-release space are assigned</w:t>
            </w:r>
          </w:p>
        </w:tc>
        <w:tc>
          <w:tcPr>
            <w:tcW w:type="dxa" w:w="3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Installation method statement</w:t>
            </w:r>
          </w:p>
        </w:tc>
        <w:tc>
          <w:tcPr>
            <w:tcW w:type="dxa" w:w="19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Installer / operations</w:t>
            </w:r>
          </w:p>
        </w:tc>
        <w:tc>
          <w:tcPr>
            <w:tcW w:type="dxa" w:w="23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☐ Verified  ☐ Open issue  ☐ Hold  ☐ N/A</w:t>
              <w:br/>
              <w:t>Owner / due / evidence / notes:</w:t>
            </w:r>
          </w:p>
        </w:tc>
      </w:tr>
      <w:tr>
        <w:tc>
          <w:tcPr>
            <w:tcW w:type="dxa" w:w="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/>
                <w:sz w:val="15"/>
              </w:rPr>
              <w:t>21</w:t>
            </w:r>
          </w:p>
        </w:tc>
        <w:tc>
          <w:tcPr>
            <w:tcW w:type="dxa" w:w="16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Packaging and room packs</w:t>
            </w:r>
          </w:p>
        </w:tc>
        <w:tc>
          <w:tcPr>
            <w:tcW w:type="dxa" w:w="45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Pack unit, labels, room-type segregation, carton weight, and disposal plan are defined</w:t>
            </w:r>
          </w:p>
        </w:tc>
        <w:tc>
          <w:tcPr>
            <w:tcW w:type="dxa" w:w="3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Approved packaging specification</w:t>
            </w:r>
          </w:p>
        </w:tc>
        <w:tc>
          <w:tcPr>
            <w:tcW w:type="dxa" w:w="19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Procurement / logistics</w:t>
            </w:r>
          </w:p>
        </w:tc>
        <w:tc>
          <w:tcPr>
            <w:tcW w:type="dxa" w:w="23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☐ Verified  ☐ Open issue  ☐ Hold  ☐ N/A</w:t>
              <w:br/>
              <w:t>Owner / due / evidence / notes:</w:t>
            </w:r>
          </w:p>
        </w:tc>
      </w:tr>
      <w:tr>
        <w:tc>
          <w:tcPr>
            <w:tcW w:type="dxa" w:w="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/>
                <w:sz w:val="15"/>
              </w:rPr>
              <w:t>22</w:t>
            </w:r>
          </w:p>
        </w:tc>
        <w:tc>
          <w:tcPr>
            <w:tcW w:type="dxa" w:w="16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Quantity basis</w:t>
            </w:r>
          </w:p>
        </w:tc>
        <w:tc>
          <w:tcPr>
            <w:tcW w:type="dxa" w:w="45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Room count, room mix, installed quantity, operational spares, and phased releases use the same revision</w:t>
            </w:r>
          </w:p>
        </w:tc>
        <w:tc>
          <w:tcPr>
            <w:tcW w:type="dxa" w:w="3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Reconciled quantity schedule</w:t>
            </w:r>
          </w:p>
        </w:tc>
        <w:tc>
          <w:tcPr>
            <w:tcW w:type="dxa" w:w="19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Procurement / operations</w:t>
            </w:r>
          </w:p>
        </w:tc>
        <w:tc>
          <w:tcPr>
            <w:tcW w:type="dxa" w:w="23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☐ Verified  ☐ Open issue  ☐ Hold  ☐ N/A</w:t>
              <w:br/>
              <w:t>Owner / due / evidence / notes:</w:t>
            </w:r>
          </w:p>
        </w:tc>
      </w:tr>
      <w:tr>
        <w:tc>
          <w:tcPr>
            <w:tcW w:type="dxa" w:w="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/>
                <w:sz w:val="15"/>
              </w:rPr>
              <w:t>23</w:t>
            </w:r>
          </w:p>
        </w:tc>
        <w:tc>
          <w:tcPr>
            <w:tcW w:type="dxa" w:w="16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Scope and responsibility</w:t>
            </w:r>
          </w:p>
        </w:tc>
        <w:tc>
          <w:tcPr>
            <w:tcW w:type="dxa" w:w="45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Supply, freight, customs, unloading, assembly, installation, commissioning, protection, and making good have owners</w:t>
            </w:r>
          </w:p>
        </w:tc>
        <w:tc>
          <w:tcPr>
            <w:tcW w:type="dxa" w:w="3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Responsibility matrix</w:t>
            </w:r>
          </w:p>
        </w:tc>
        <w:tc>
          <w:tcPr>
            <w:tcW w:type="dxa" w:w="19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Project manager / procurement</w:t>
            </w:r>
          </w:p>
        </w:tc>
        <w:tc>
          <w:tcPr>
            <w:tcW w:type="dxa" w:w="23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☐ Verified  ☐ Open issue  ☐ Hold  ☐ N/A</w:t>
              <w:br/>
              <w:t>Owner / due / evidence / notes:</w:t>
            </w:r>
          </w:p>
        </w:tc>
      </w:tr>
      <w:tr>
        <w:tc>
          <w:tcPr>
            <w:tcW w:type="dxa" w:w="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/>
                <w:sz w:val="15"/>
              </w:rPr>
              <w:t>24</w:t>
            </w:r>
          </w:p>
        </w:tc>
        <w:tc>
          <w:tcPr>
            <w:tcW w:type="dxa" w:w="16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Compliance hold points</w:t>
            </w:r>
          </w:p>
        </w:tc>
        <w:tc>
          <w:tcPr>
            <w:tcW w:type="dxa" w:w="45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Required destination, safety, accessibility, electrical, material, hygiene, and labeling checks are assigned</w:t>
            </w:r>
          </w:p>
        </w:tc>
        <w:tc>
          <w:tcPr>
            <w:tcW w:type="dxa" w:w="3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Category-specific compliance register</w:t>
            </w:r>
          </w:p>
        </w:tc>
        <w:tc>
          <w:tcPr>
            <w:tcW w:type="dxa" w:w="19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Project compliance owner</w:t>
            </w:r>
          </w:p>
        </w:tc>
        <w:tc>
          <w:tcPr>
            <w:tcW w:type="dxa" w:w="23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☐ Verified  ☐ Open issue  ☐ Hold  ☐ N/A</w:t>
              <w:br/>
              <w:t>Owner / due / evidence / notes:</w:t>
            </w:r>
          </w:p>
        </w:tc>
      </w:tr>
      <w:tr>
        <w:tc>
          <w:tcPr>
            <w:tcW w:type="dxa" w:w="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/>
                <w:sz w:val="15"/>
              </w:rPr>
              <w:t>25</w:t>
            </w:r>
          </w:p>
        </w:tc>
        <w:tc>
          <w:tcPr>
            <w:tcW w:type="dxa" w:w="16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Open issues</w:t>
            </w:r>
          </w:p>
        </w:tc>
        <w:tc>
          <w:tcPr>
            <w:tcW w:type="dxa" w:w="45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Every unresolved item has an owner, due date, impact, and procurement hold point</w:t>
            </w:r>
          </w:p>
        </w:tc>
        <w:tc>
          <w:tcPr>
            <w:tcW w:type="dxa" w:w="3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Open-issue register</w:t>
            </w:r>
          </w:p>
        </w:tc>
        <w:tc>
          <w:tcPr>
            <w:tcW w:type="dxa" w:w="19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Project manager</w:t>
            </w:r>
          </w:p>
        </w:tc>
        <w:tc>
          <w:tcPr>
            <w:tcW w:type="dxa" w:w="23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☐ Verified  ☐ Open issue  ☐ Hold  ☐ N/A</w:t>
              <w:br/>
              <w:t>Owner / due / evidence / notes:</w:t>
            </w:r>
          </w:p>
        </w:tc>
      </w:tr>
      <w:tr>
        <w:tc>
          <w:tcPr>
            <w:tcW w:type="dxa" w:w="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  <w:jc w:val="center"/>
            </w:pPr>
            <w:r>
              <w:rPr>
                <w:rFonts w:ascii="Calibri" w:hAnsi="Calibri"/>
                <w:b/>
                <w:sz w:val="15"/>
              </w:rPr>
              <w:t>26</w:t>
            </w:r>
          </w:p>
        </w:tc>
        <w:tc>
          <w:tcPr>
            <w:tcW w:type="dxa" w:w="16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Final baseline</w:t>
            </w:r>
          </w:p>
        </w:tc>
        <w:tc>
          <w:tcPr>
            <w:tcW w:type="dxa" w:w="455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Updated drawings, schedule, sample record, quotation assumptions, and purchase terms agree</w:t>
            </w:r>
          </w:p>
        </w:tc>
        <w:tc>
          <w:tcPr>
            <w:tcW w:type="dxa" w:w="35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Signed review release and revision set</w:t>
            </w:r>
          </w:p>
        </w:tc>
        <w:tc>
          <w:tcPr>
            <w:tcW w:type="dxa" w:w="19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Procurement / project sponsor</w:t>
            </w:r>
          </w:p>
        </w:tc>
        <w:tc>
          <w:tcPr>
            <w:tcW w:type="dxa" w:w="2300"/>
            <w:tcMar>
              <w:top w:w="55" w:type="dxa"/>
              <w:start w:w="75" w:type="dxa"/>
              <w:bottom w:w="55" w:type="dxa"/>
              <w:end w:w="75" w:type="dxa"/>
            </w:tcMar>
            <w:vAlign w:val="top"/>
            <w:shd w:fill="F6F8FA"/>
          </w:tcPr>
          <w:p>
            <w:pPr>
              <w:spacing w:before="0" w:after="0" w:line="240" w:lineRule="auto"/>
            </w:pPr>
            <w:r>
              <w:rPr>
                <w:rFonts w:ascii="Calibri" w:hAnsi="Calibri"/>
                <w:sz w:val="15"/>
              </w:rPr>
              <w:t>☐ Verified  ☐ Open issue  ☐ Hold  ☐ N/A</w:t>
              <w:br/>
              <w:t>Owner / due / evidence / notes:</w:t>
            </w:r>
          </w:p>
        </w:tc>
      </w:tr>
    </w:tbl>
    <w:p>
      <w:pPr>
        <w:pStyle w:val="Heading2"/>
      </w:pPr>
      <w:r>
        <w:t>Release confirmation</w:t>
      </w:r>
    </w:p>
    <w:tbl>
      <w:tblPr>
        <w:tblW w:type="dxa" w:w="14400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C9D0D8"/>
          <w:left w:val="single" w:sz="4" w:space="0" w:color="C9D0D8"/>
          <w:bottom w:val="single" w:sz="4" w:space="0" w:color="C9D0D8"/>
          <w:right w:val="single" w:sz="4" w:space="0" w:color="C9D0D8"/>
          <w:insideH w:val="single" w:sz="4" w:space="0" w:color="C9D0D8"/>
          <w:insideV w:val="single" w:sz="4" w:space="0" w:color="C9D0D8"/>
        </w:tblBorders>
      </w:tblPr>
      <w:tblGrid>
        <w:gridCol w:w="1800"/>
        <w:gridCol w:w="5400"/>
        <w:gridCol w:w="1800"/>
        <w:gridCol w:w="5400"/>
      </w:tblGrid>
      <w:tr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Calibri" w:hAnsi="Calibri"/>
                <w:b/>
                <w:sz w:val="16"/>
              </w:rPr>
              <w:t>Open issues remaining</w:t>
            </w:r>
          </w:p>
        </w:tc>
        <w:tc>
          <w:tcPr>
            <w:tcW w:type="dxa" w:w="5400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sz w:val="16"/>
              </w:rPr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Calibri" w:hAnsi="Calibri"/>
                <w:b/>
                <w:sz w:val="16"/>
              </w:rPr>
              <w:t>Procurement hold IDs</w:t>
            </w:r>
          </w:p>
        </w:tc>
        <w:tc>
          <w:tcPr>
            <w:tcW w:type="dxa" w:w="5400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sz w:val="16"/>
              </w:rPr>
            </w:r>
          </w:p>
        </w:tc>
      </w:tr>
      <w:tr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Calibri" w:hAnsi="Calibri"/>
                <w:b/>
                <w:sz w:val="16"/>
              </w:rPr>
              <w:t>Released documents</w:t>
            </w:r>
          </w:p>
        </w:tc>
        <w:tc>
          <w:tcPr>
            <w:tcW w:type="dxa" w:w="5400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sz w:val="16"/>
              </w:rPr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Calibri" w:hAnsi="Calibri"/>
                <w:b/>
                <w:sz w:val="16"/>
              </w:rPr>
              <w:t>Supplier acknowledgement</w:t>
            </w:r>
          </w:p>
        </w:tc>
        <w:tc>
          <w:tcPr>
            <w:tcW w:type="dxa" w:w="5400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sz w:val="16"/>
              </w:rPr>
            </w:r>
          </w:p>
        </w:tc>
      </w:tr>
      <w:tr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Calibri" w:hAnsi="Calibri"/>
                <w:b/>
                <w:sz w:val="16"/>
              </w:rPr>
              <w:t>Approved by</w:t>
            </w:r>
          </w:p>
        </w:tc>
        <w:tc>
          <w:tcPr>
            <w:tcW w:type="dxa" w:w="5400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sz w:val="16"/>
              </w:rPr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Calibri" w:hAnsi="Calibri"/>
                <w:b/>
                <w:sz w:val="16"/>
              </w:rPr>
              <w:t>Role</w:t>
            </w:r>
          </w:p>
        </w:tc>
        <w:tc>
          <w:tcPr>
            <w:tcW w:type="dxa" w:w="5400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sz w:val="16"/>
              </w:rPr>
            </w:r>
          </w:p>
        </w:tc>
      </w:tr>
      <w:tr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Calibri" w:hAnsi="Calibri"/>
                <w:b/>
                <w:sz w:val="16"/>
              </w:rPr>
              <w:t>Signature</w:t>
            </w:r>
          </w:p>
        </w:tc>
        <w:tc>
          <w:tcPr>
            <w:tcW w:type="dxa" w:w="5400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sz w:val="16"/>
              </w:rPr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rFonts w:ascii="Calibri" w:hAnsi="Calibri"/>
                <w:b/>
                <w:sz w:val="16"/>
              </w:rPr>
              <w:t>Date</w:t>
            </w:r>
          </w:p>
        </w:tc>
        <w:tc>
          <w:tcPr>
            <w:tcW w:type="dxa" w:w="5400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sz w:val="16"/>
              </w:rPr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5840" w:h="12240" w:orient="landscape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color w:val="646464"/>
        <w:sz w:val="18"/>
      </w:rPr>
      <w:t xml:space="preserve">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Calibri" w:hAnsi="Calibri"/>
        <w:color w:val="6B7280"/>
        <w:sz w:val="16"/>
      </w:rPr>
      <w:t>KW Hospitality | Pre-Purchase Site Review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80" w:line="276" w:lineRule="auto"/>
    </w:pPr>
    <w:rPr>
      <w:rFonts w:ascii="Calibri" w:hAnsi="Calibri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60"/>
      <w:outlineLvl w:val="0"/>
    </w:pPr>
    <w:rPr>
      <w:rFonts w:asciiTheme="majorHAnsi" w:eastAsiaTheme="majorEastAsia" w:hAnsiTheme="majorHAnsi" w:cstheme="majorBidi" w:ascii="Calibri" w:hAnsi="Calibr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Calibri" w:hAnsi="Calibri"/>
      <w:b/>
      <w:bCs/>
      <w:color w:val="2E74B5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Calibri" w:hAnsi="Calibri"/>
      <w:b/>
      <w:bCs/>
      <w:color w:val="1F4D78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Guest Room Supplies Pre-Purchase Site Review Checklist</dc:title>
  <dc:subject/>
  <dc:creator>KW Hospitality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