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Aptos Display" w:hAnsi="Aptos Display"/>
          <w:b/>
          <w:i w:val="0"/>
          <w:color w:val="0A2342"/>
          <w:sz w:val="36"/>
        </w:rPr>
        <w:t>Guest Room Supplies Safety and Accessibility Buyer Checklist</w:t>
      </w:r>
    </w:p>
    <w:p>
      <w:pPr>
        <w:spacing w:after="140"/>
      </w:pPr>
      <w:r>
        <w:rPr>
          <w:rFonts w:ascii="Aptos" w:hAnsi="Aptos"/>
          <w:b w:val="0"/>
          <w:i w:val="0"/>
          <w:color w:val="5F6B76"/>
          <w:sz w:val="18"/>
        </w:rPr>
        <w:t>2026 procurement control • U.S. hotel projects • Complete per model and installed use condition</w:t>
      </w:r>
    </w:p>
    <w:p>
      <w:pPr>
        <w:spacing w:after="140"/>
      </w:pPr>
      <w:r>
        <w:rPr>
          <w:rFonts w:ascii="Aptos" w:hAnsi="Aptos"/>
          <w:b w:val="0"/>
          <w:i w:val="0"/>
          <w:color w:val="202A35"/>
          <w:sz w:val="21"/>
        </w:rPr>
        <w:t xml:space="preserve">Status options: </w:t>
      </w:r>
      <w:r>
        <w:rPr>
          <w:rFonts w:ascii="Aptos" w:hAnsi="Aptos"/>
          <w:b/>
          <w:i w:val="0"/>
          <w:color w:val="202A35"/>
          <w:sz w:val="21"/>
        </w:rPr>
        <w:t>Pass, Fail, Hold, or Not Applicable.</w:t>
      </w:r>
      <w:r>
        <w:rPr>
          <w:rFonts w:ascii="Aptos" w:hAnsi="Aptos"/>
          <w:b w:val="0"/>
          <w:i w:val="0"/>
          <w:color w:val="202A35"/>
          <w:sz w:val="21"/>
        </w:rPr>
        <w:t xml:space="preserve"> Any unresolved critical gate requires a hold. Record objective evidence and the responsible closer.</w:t>
      </w:r>
    </w:p>
    <w:tbl>
      <w:tblPr>
        <w:tblStyle w:val="TableGrid"/>
        <w:tblW w:type="dxa" w:w="10688"/>
        <w:jc w:val="center"/>
        <w:tblLayout w:type="fixed"/>
        <w:tblLook w:firstColumn="1" w:firstRow="1" w:lastColumn="0" w:lastRow="0" w:noHBand="0" w:noVBand="1" w:val="04A0"/>
      </w:tblPr>
      <w:tblGrid>
        <w:gridCol w:w="360"/>
        <w:gridCol w:w="1300"/>
        <w:gridCol w:w="3800"/>
        <w:gridCol w:w="2670"/>
        <w:gridCol w:w="720"/>
        <w:gridCol w:w="1838"/>
      </w:tblGrid>
      <w:tr>
        <w:trPr>
          <w:tblHeader w:val="true"/>
        </w:trPr>
        <w:tc>
          <w:tcPr>
            <w:tcW w:type="dxa" w:w="360"/>
            <w:shd w:fill="0A2342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/>
                <w:i w:val="0"/>
                <w:color w:val="FFFFFF"/>
                <w:sz w:val="15"/>
              </w:rPr>
              <w:t>ID</w:t>
            </w:r>
          </w:p>
        </w:tc>
        <w:tc>
          <w:tcPr>
            <w:tcW w:type="dxa" w:w="1300"/>
            <w:shd w:fill="0A2342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/>
                <w:i w:val="0"/>
                <w:color w:val="FFFFFF"/>
                <w:sz w:val="15"/>
              </w:rPr>
              <w:t>Review area</w:t>
            </w:r>
          </w:p>
        </w:tc>
        <w:tc>
          <w:tcPr>
            <w:tcW w:type="dxa" w:w="3800"/>
            <w:shd w:fill="0A2342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/>
                <w:i w:val="0"/>
                <w:color w:val="FFFFFF"/>
                <w:sz w:val="15"/>
              </w:rPr>
              <w:t>Buyer verification</w:t>
            </w:r>
          </w:p>
        </w:tc>
        <w:tc>
          <w:tcPr>
            <w:tcW w:type="dxa" w:w="2670"/>
            <w:shd w:fill="0A2342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/>
                <w:i w:val="0"/>
                <w:color w:val="FFFFFF"/>
                <w:sz w:val="15"/>
              </w:rPr>
              <w:t>Evidence or test</w:t>
            </w:r>
          </w:p>
        </w:tc>
        <w:tc>
          <w:tcPr>
            <w:tcW w:type="dxa" w:w="720"/>
            <w:shd w:fill="0A2342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/>
                <w:i w:val="0"/>
                <w:color w:val="FFFFFF"/>
                <w:sz w:val="15"/>
              </w:rPr>
              <w:t>Critical gate</w:t>
            </w:r>
          </w:p>
        </w:tc>
        <w:tc>
          <w:tcPr>
            <w:tcW w:type="dxa" w:w="1838"/>
            <w:shd w:fill="0A2342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/>
                <w:i w:val="0"/>
                <w:color w:val="FFFFFF"/>
                <w:sz w:val="15"/>
              </w:rPr>
              <w:t>Status / action notes</w:t>
            </w:r>
          </w:p>
        </w:tc>
      </w:tr>
      <w:tr>
        <w:tc>
          <w:tcPr>
            <w:tcW w:type="dxa" w:w="36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1</w:t>
            </w:r>
          </w:p>
        </w:tc>
        <w:tc>
          <w:tcPr>
            <w:tcW w:type="dxa" w:w="130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/>
                <w:i w:val="0"/>
                <w:color w:val="202A35"/>
                <w:sz w:val="14"/>
              </w:rPr>
              <w:t>Jurisdiction</w:t>
            </w:r>
          </w:p>
        </w:tc>
        <w:tc>
          <w:tcPr>
            <w:tcW w:type="dxa" w:w="380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Destination country, state, city, code edition, alteration scope, and authority having jurisdiction are recorded.</w:t>
            </w:r>
          </w:p>
        </w:tc>
        <w:tc>
          <w:tcPr>
            <w:tcW w:type="dxa" w:w="267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Project code matrix and reviewer confirmation</w:t>
            </w:r>
          </w:p>
        </w:tc>
        <w:tc>
          <w:tcPr>
            <w:tcW w:type="dxa" w:w="72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Yes</w:t>
            </w:r>
          </w:p>
        </w:tc>
        <w:tc>
          <w:tcPr>
            <w:tcW w:type="dxa" w:w="1838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</w:r>
          </w:p>
        </w:tc>
      </w:tr>
      <w:tr>
        <w:tc>
          <w:tcPr>
            <w:tcW w:type="dxa" w:w="36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2</w:t>
            </w:r>
          </w:p>
        </w:tc>
        <w:tc>
          <w:tcPr>
            <w:tcW w:type="dxa" w:w="130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/>
                <w:i w:val="0"/>
                <w:color w:val="202A35"/>
                <w:sz w:val="14"/>
              </w:rPr>
              <w:t>Room classification</w:t>
            </w:r>
          </w:p>
        </w:tc>
        <w:tc>
          <w:tcPr>
            <w:tcW w:type="dxa" w:w="380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Mobility-feature, communication-feature, standard, suite, and other room types are mapped to the supply schedule.</w:t>
            </w:r>
          </w:p>
        </w:tc>
        <w:tc>
          <w:tcPr>
            <w:tcW w:type="dxa" w:w="267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Approved room matrix</w:t>
            </w:r>
          </w:p>
        </w:tc>
        <w:tc>
          <w:tcPr>
            <w:tcW w:type="dxa" w:w="72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Yes</w:t>
            </w:r>
          </w:p>
        </w:tc>
        <w:tc>
          <w:tcPr>
            <w:tcW w:type="dxa" w:w="1838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</w:r>
          </w:p>
        </w:tc>
      </w:tr>
      <w:tr>
        <w:tc>
          <w:tcPr>
            <w:tcW w:type="dxa" w:w="36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3</w:t>
            </w:r>
          </w:p>
        </w:tc>
        <w:tc>
          <w:tcPr>
            <w:tcW w:type="dxa" w:w="130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/>
                <w:i w:val="0"/>
                <w:color w:val="202A35"/>
                <w:sz w:val="14"/>
              </w:rPr>
              <w:t>Product identity</w:t>
            </w:r>
          </w:p>
        </w:tc>
        <w:tc>
          <w:tcPr>
            <w:tcW w:type="dxa" w:w="380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Exact model, revision, dimensions, materials, voltage, plug, finish, accessories, and factory match the quotation.</w:t>
            </w:r>
          </w:p>
        </w:tc>
        <w:tc>
          <w:tcPr>
            <w:tcW w:type="dxa" w:w="267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Controlled specification and sample label</w:t>
            </w:r>
          </w:p>
        </w:tc>
        <w:tc>
          <w:tcPr>
            <w:tcW w:type="dxa" w:w="72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Yes</w:t>
            </w:r>
          </w:p>
        </w:tc>
        <w:tc>
          <w:tcPr>
            <w:tcW w:type="dxa" w:w="1838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</w:r>
          </w:p>
        </w:tc>
      </w:tr>
      <w:tr>
        <w:tc>
          <w:tcPr>
            <w:tcW w:type="dxa" w:w="36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4</w:t>
            </w:r>
          </w:p>
        </w:tc>
        <w:tc>
          <w:tcPr>
            <w:tcW w:type="dxa" w:w="130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/>
                <w:i w:val="0"/>
                <w:color w:val="202A35"/>
                <w:sz w:val="14"/>
              </w:rPr>
              <w:t>Requirement mapping</w:t>
            </w:r>
          </w:p>
        </w:tc>
        <w:tc>
          <w:tcPr>
            <w:tcW w:type="dxa" w:w="380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Each mandatory rule, project standard, insurer criterion, and brand requirement is identified without conflating them.</w:t>
            </w:r>
          </w:p>
        </w:tc>
        <w:tc>
          <w:tcPr>
            <w:tcW w:type="dxa" w:w="267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Compliance matrix</w:t>
            </w:r>
          </w:p>
        </w:tc>
        <w:tc>
          <w:tcPr>
            <w:tcW w:type="dxa" w:w="72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Yes</w:t>
            </w:r>
          </w:p>
        </w:tc>
        <w:tc>
          <w:tcPr>
            <w:tcW w:type="dxa" w:w="1838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</w:r>
          </w:p>
        </w:tc>
      </w:tr>
      <w:tr>
        <w:tc>
          <w:tcPr>
            <w:tcW w:type="dxa" w:w="36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5</w:t>
            </w:r>
          </w:p>
        </w:tc>
        <w:tc>
          <w:tcPr>
            <w:tcW w:type="dxa" w:w="130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/>
                <w:i w:val="0"/>
                <w:color w:val="202A35"/>
                <w:sz w:val="14"/>
              </w:rPr>
              <w:t>Document validity</w:t>
            </w:r>
          </w:p>
        </w:tc>
        <w:tc>
          <w:tcPr>
            <w:tcW w:type="dxa" w:w="380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Reports and certificates name the exact product configuration, test method, issuer, date, and applicable market.</w:t>
            </w:r>
          </w:p>
        </w:tc>
        <w:tc>
          <w:tcPr>
            <w:tcW w:type="dxa" w:w="267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Document review</w:t>
            </w:r>
          </w:p>
        </w:tc>
        <w:tc>
          <w:tcPr>
            <w:tcW w:type="dxa" w:w="72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Yes</w:t>
            </w:r>
          </w:p>
        </w:tc>
        <w:tc>
          <w:tcPr>
            <w:tcW w:type="dxa" w:w="1838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</w:r>
          </w:p>
        </w:tc>
      </w:tr>
      <w:tr>
        <w:tc>
          <w:tcPr>
            <w:tcW w:type="dxa" w:w="36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6</w:t>
            </w:r>
          </w:p>
        </w:tc>
        <w:tc>
          <w:tcPr>
            <w:tcW w:type="dxa" w:w="130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/>
                <w:i w:val="0"/>
                <w:color w:val="202A35"/>
                <w:sz w:val="14"/>
              </w:rPr>
              <w:t>Recall screening</w:t>
            </w:r>
          </w:p>
        </w:tc>
        <w:tc>
          <w:tcPr>
            <w:tcW w:type="dxa" w:w="380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Exact model and manufacturer have been checked against current recall and safety-warning records.</w:t>
            </w:r>
          </w:p>
        </w:tc>
        <w:tc>
          <w:tcPr>
            <w:tcW w:type="dxa" w:w="267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Dated recall-search record</w:t>
            </w:r>
          </w:p>
        </w:tc>
        <w:tc>
          <w:tcPr>
            <w:tcW w:type="dxa" w:w="72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Yes</w:t>
            </w:r>
          </w:p>
        </w:tc>
        <w:tc>
          <w:tcPr>
            <w:tcW w:type="dxa" w:w="1838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</w:r>
          </w:p>
        </w:tc>
      </w:tr>
      <w:tr>
        <w:tc>
          <w:tcPr>
            <w:tcW w:type="dxa" w:w="36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7</w:t>
            </w:r>
          </w:p>
        </w:tc>
        <w:tc>
          <w:tcPr>
            <w:tcW w:type="dxa" w:w="130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/>
                <w:i w:val="0"/>
                <w:color w:val="202A35"/>
                <w:sz w:val="14"/>
              </w:rPr>
              <w:t>Clear floor space</w:t>
            </w:r>
          </w:p>
        </w:tc>
        <w:tc>
          <w:tcPr>
            <w:tcW w:type="dxa" w:w="380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The item does not obstruct required bed, bathroom, turning, transfer, or approach space in use.</w:t>
            </w:r>
          </w:p>
        </w:tc>
        <w:tc>
          <w:tcPr>
            <w:tcW w:type="dxa" w:w="267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Dimensioned plan and room mockup</w:t>
            </w:r>
          </w:p>
        </w:tc>
        <w:tc>
          <w:tcPr>
            <w:tcW w:type="dxa" w:w="72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Yes</w:t>
            </w:r>
          </w:p>
        </w:tc>
        <w:tc>
          <w:tcPr>
            <w:tcW w:type="dxa" w:w="1838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</w:r>
          </w:p>
        </w:tc>
      </w:tr>
      <w:tr>
        <w:tc>
          <w:tcPr>
            <w:tcW w:type="dxa" w:w="36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8</w:t>
            </w:r>
          </w:p>
        </w:tc>
        <w:tc>
          <w:tcPr>
            <w:tcW w:type="dxa" w:w="130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/>
                <w:i w:val="0"/>
                <w:color w:val="202A35"/>
                <w:sz w:val="14"/>
              </w:rPr>
              <w:t>Reach and operation</w:t>
            </w:r>
          </w:p>
        </w:tc>
        <w:tc>
          <w:tcPr>
            <w:tcW w:type="dxa" w:w="380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Required controls, storage, outlets, and accessories are reachable and operable in the installed condition.</w:t>
            </w:r>
          </w:p>
        </w:tc>
        <w:tc>
          <w:tcPr>
            <w:tcW w:type="dxa" w:w="267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Installed-height check and user trial</w:t>
            </w:r>
          </w:p>
        </w:tc>
        <w:tc>
          <w:tcPr>
            <w:tcW w:type="dxa" w:w="72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Yes</w:t>
            </w:r>
          </w:p>
        </w:tc>
        <w:tc>
          <w:tcPr>
            <w:tcW w:type="dxa" w:w="1838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</w:r>
          </w:p>
        </w:tc>
      </w:tr>
      <w:tr>
        <w:tc>
          <w:tcPr>
            <w:tcW w:type="dxa" w:w="36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9</w:t>
            </w:r>
          </w:p>
        </w:tc>
        <w:tc>
          <w:tcPr>
            <w:tcW w:type="dxa" w:w="130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/>
                <w:i w:val="0"/>
                <w:color w:val="202A35"/>
                <w:sz w:val="14"/>
              </w:rPr>
              <w:t>Communication features</w:t>
            </w:r>
          </w:p>
        </w:tc>
        <w:tc>
          <w:tcPr>
            <w:tcW w:type="dxa" w:w="380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Visual alarms, notification devices, telephone features, and supporting outlets are complete and compatible where required.</w:t>
            </w:r>
          </w:p>
        </w:tc>
        <w:tc>
          <w:tcPr>
            <w:tcW w:type="dxa" w:w="267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Systems test and room schedule</w:t>
            </w:r>
          </w:p>
        </w:tc>
        <w:tc>
          <w:tcPr>
            <w:tcW w:type="dxa" w:w="72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Yes</w:t>
            </w:r>
          </w:p>
        </w:tc>
        <w:tc>
          <w:tcPr>
            <w:tcW w:type="dxa" w:w="1838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</w:r>
          </w:p>
        </w:tc>
      </w:tr>
      <w:tr>
        <w:tc>
          <w:tcPr>
            <w:tcW w:type="dxa" w:w="36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10</w:t>
            </w:r>
          </w:p>
        </w:tc>
        <w:tc>
          <w:tcPr>
            <w:tcW w:type="dxa" w:w="130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/>
                <w:i w:val="0"/>
                <w:color w:val="202A35"/>
                <w:sz w:val="14"/>
              </w:rPr>
              <w:t>Information access</w:t>
            </w:r>
          </w:p>
        </w:tc>
        <w:tc>
          <w:tcPr>
            <w:tcW w:type="dxa" w:w="380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Essential instructions and safety information are available through readable and usable alternatives.</w:t>
            </w:r>
          </w:p>
        </w:tc>
        <w:tc>
          <w:tcPr>
            <w:tcW w:type="dxa" w:w="267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Content and usability review</w:t>
            </w:r>
          </w:p>
        </w:tc>
        <w:tc>
          <w:tcPr>
            <w:tcW w:type="dxa" w:w="72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Yes</w:t>
            </w:r>
          </w:p>
        </w:tc>
        <w:tc>
          <w:tcPr>
            <w:tcW w:type="dxa" w:w="1838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</w:r>
          </w:p>
        </w:tc>
      </w:tr>
      <w:tr>
        <w:tc>
          <w:tcPr>
            <w:tcW w:type="dxa" w:w="36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11</w:t>
            </w:r>
          </w:p>
        </w:tc>
        <w:tc>
          <w:tcPr>
            <w:tcW w:type="dxa" w:w="130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/>
                <w:i w:val="0"/>
                <w:color w:val="202A35"/>
                <w:sz w:val="14"/>
              </w:rPr>
              <w:t>Stability</w:t>
            </w:r>
          </w:p>
        </w:tc>
        <w:tc>
          <w:tcPr>
            <w:tcW w:type="dxa" w:w="380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Furniture and freestanding accessories resist foreseeable tipping, collapse, rolling, and sliding.</w:t>
            </w:r>
          </w:p>
        </w:tc>
        <w:tc>
          <w:tcPr>
            <w:tcW w:type="dxa" w:w="267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Applicable report plus mockup test</w:t>
            </w:r>
          </w:p>
        </w:tc>
        <w:tc>
          <w:tcPr>
            <w:tcW w:type="dxa" w:w="72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Yes</w:t>
            </w:r>
          </w:p>
        </w:tc>
        <w:tc>
          <w:tcPr>
            <w:tcW w:type="dxa" w:w="1838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</w:r>
          </w:p>
        </w:tc>
      </w:tr>
      <w:tr>
        <w:tc>
          <w:tcPr>
            <w:tcW w:type="dxa" w:w="36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12</w:t>
            </w:r>
          </w:p>
        </w:tc>
        <w:tc>
          <w:tcPr>
            <w:tcW w:type="dxa" w:w="130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/>
                <w:i w:val="0"/>
                <w:color w:val="202A35"/>
                <w:sz w:val="14"/>
              </w:rPr>
              <w:t>Anchoring</w:t>
            </w:r>
          </w:p>
        </w:tc>
        <w:tc>
          <w:tcPr>
            <w:tcW w:type="dxa" w:w="380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Substrate, anchor, fastener, load, installation method, and inspection access are defined for mounted items.</w:t>
            </w:r>
          </w:p>
        </w:tc>
        <w:tc>
          <w:tcPr>
            <w:tcW w:type="dxa" w:w="267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Shop drawing and installation record</w:t>
            </w:r>
          </w:p>
        </w:tc>
        <w:tc>
          <w:tcPr>
            <w:tcW w:type="dxa" w:w="72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Yes</w:t>
            </w:r>
          </w:p>
        </w:tc>
        <w:tc>
          <w:tcPr>
            <w:tcW w:type="dxa" w:w="1838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</w:r>
          </w:p>
        </w:tc>
      </w:tr>
      <w:tr>
        <w:tc>
          <w:tcPr>
            <w:tcW w:type="dxa" w:w="36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13</w:t>
            </w:r>
          </w:p>
        </w:tc>
        <w:tc>
          <w:tcPr>
            <w:tcW w:type="dxa" w:w="130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/>
                <w:i w:val="0"/>
                <w:color w:val="202A35"/>
                <w:sz w:val="14"/>
              </w:rPr>
              <w:t>Edges and entrapment</w:t>
            </w:r>
          </w:p>
        </w:tc>
        <w:tc>
          <w:tcPr>
            <w:tcW w:type="dxa" w:w="380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No unresolved sharp edge, pinch point, finger trap, head/body entrapment, or breakage hazard remains.</w:t>
            </w:r>
          </w:p>
        </w:tc>
        <w:tc>
          <w:tcPr>
            <w:tcW w:type="dxa" w:w="267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Sample inspection and risk review</w:t>
            </w:r>
          </w:p>
        </w:tc>
        <w:tc>
          <w:tcPr>
            <w:tcW w:type="dxa" w:w="72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Yes</w:t>
            </w:r>
          </w:p>
        </w:tc>
        <w:tc>
          <w:tcPr>
            <w:tcW w:type="dxa" w:w="1838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</w:r>
          </w:p>
        </w:tc>
      </w:tr>
      <w:tr>
        <w:tc>
          <w:tcPr>
            <w:tcW w:type="dxa" w:w="36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14</w:t>
            </w:r>
          </w:p>
        </w:tc>
        <w:tc>
          <w:tcPr>
            <w:tcW w:type="dxa" w:w="130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/>
                <w:i w:val="0"/>
                <w:color w:val="202A35"/>
                <w:sz w:val="14"/>
              </w:rPr>
              <w:t>Mattress and textile fire basis</w:t>
            </w:r>
          </w:p>
        </w:tc>
        <w:tc>
          <w:tcPr>
            <w:tcW w:type="dxa" w:w="380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Required flammability evidence, labels, and construction traceability match the supplied item.</w:t>
            </w:r>
          </w:p>
        </w:tc>
        <w:tc>
          <w:tcPr>
            <w:tcW w:type="dxa" w:w="267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Test report and production record</w:t>
            </w:r>
          </w:p>
        </w:tc>
        <w:tc>
          <w:tcPr>
            <w:tcW w:type="dxa" w:w="72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Yes</w:t>
            </w:r>
          </w:p>
        </w:tc>
        <w:tc>
          <w:tcPr>
            <w:tcW w:type="dxa" w:w="1838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</w:r>
          </w:p>
        </w:tc>
      </w:tr>
      <w:tr>
        <w:tc>
          <w:tcPr>
            <w:tcW w:type="dxa" w:w="36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15</w:t>
            </w:r>
          </w:p>
        </w:tc>
        <w:tc>
          <w:tcPr>
            <w:tcW w:type="dxa" w:w="130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/>
                <w:i w:val="0"/>
                <w:color w:val="202A35"/>
                <w:sz w:val="14"/>
              </w:rPr>
              <w:t>Infant equipment</w:t>
            </w:r>
          </w:p>
        </w:tc>
        <w:tc>
          <w:tcPr>
            <w:tcW w:type="dxa" w:w="380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Cribs and related items meet applicable rules, are complete, undamaged, and used with an approved sleep setup.</w:t>
            </w:r>
          </w:p>
        </w:tc>
        <w:tc>
          <w:tcPr>
            <w:tcW w:type="dxa" w:w="267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Model record, inspection, and recall check</w:t>
            </w:r>
          </w:p>
        </w:tc>
        <w:tc>
          <w:tcPr>
            <w:tcW w:type="dxa" w:w="72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Yes</w:t>
            </w:r>
          </w:p>
        </w:tc>
        <w:tc>
          <w:tcPr>
            <w:tcW w:type="dxa" w:w="1838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</w:r>
          </w:p>
        </w:tc>
      </w:tr>
      <w:tr>
        <w:tc>
          <w:tcPr>
            <w:tcW w:type="dxa" w:w="36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16</w:t>
            </w:r>
          </w:p>
        </w:tc>
        <w:tc>
          <w:tcPr>
            <w:tcW w:type="dxa" w:w="130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/>
                <w:i w:val="0"/>
                <w:color w:val="202A35"/>
                <w:sz w:val="14"/>
              </w:rPr>
              <w:t>Electrical compatibility</w:t>
            </w:r>
          </w:p>
        </w:tc>
        <w:tc>
          <w:tcPr>
            <w:tcW w:type="dxa" w:w="380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Rating, plug, cord, protection, certification requirement, and installation match the destination and room.</w:t>
            </w:r>
          </w:p>
        </w:tc>
        <w:tc>
          <w:tcPr>
            <w:tcW w:type="dxa" w:w="267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Label review and powered sample test</w:t>
            </w:r>
          </w:p>
        </w:tc>
        <w:tc>
          <w:tcPr>
            <w:tcW w:type="dxa" w:w="72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Yes</w:t>
            </w:r>
          </w:p>
        </w:tc>
        <w:tc>
          <w:tcPr>
            <w:tcW w:type="dxa" w:w="1838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</w:r>
          </w:p>
        </w:tc>
      </w:tr>
      <w:tr>
        <w:tc>
          <w:tcPr>
            <w:tcW w:type="dxa" w:w="36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17</w:t>
            </w:r>
          </w:p>
        </w:tc>
        <w:tc>
          <w:tcPr>
            <w:tcW w:type="dxa" w:w="130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/>
                <w:i w:val="0"/>
                <w:color w:val="202A35"/>
                <w:sz w:val="14"/>
              </w:rPr>
              <w:t>Heat and shutoff</w:t>
            </w:r>
          </w:p>
        </w:tc>
        <w:tc>
          <w:tcPr>
            <w:tcW w:type="dxa" w:w="380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Surface temperatures, ventilation, water separation, and automatic shutoff are suitable for foreseeable use.</w:t>
            </w:r>
          </w:p>
        </w:tc>
        <w:tc>
          <w:tcPr>
            <w:tcW w:type="dxa" w:w="267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Functional test</w:t>
            </w:r>
          </w:p>
        </w:tc>
        <w:tc>
          <w:tcPr>
            <w:tcW w:type="dxa" w:w="72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Yes</w:t>
            </w:r>
          </w:p>
        </w:tc>
        <w:tc>
          <w:tcPr>
            <w:tcW w:type="dxa" w:w="1838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</w:r>
          </w:p>
        </w:tc>
      </w:tr>
      <w:tr>
        <w:tc>
          <w:tcPr>
            <w:tcW w:type="dxa" w:w="36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18</w:t>
            </w:r>
          </w:p>
        </w:tc>
        <w:tc>
          <w:tcPr>
            <w:tcW w:type="dxa" w:w="130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/>
                <w:i w:val="0"/>
                <w:color w:val="202A35"/>
                <w:sz w:val="14"/>
              </w:rPr>
              <w:t>Battery safety</w:t>
            </w:r>
          </w:p>
        </w:tc>
        <w:tc>
          <w:tcPr>
            <w:tcW w:type="dxa" w:w="380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Cell, charger, protection, transport, storage, damage response, replacement, and disposal are controlled.</w:t>
            </w:r>
          </w:p>
        </w:tc>
        <w:tc>
          <w:tcPr>
            <w:tcW w:type="dxa" w:w="267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Battery file and operating procedure</w:t>
            </w:r>
          </w:p>
        </w:tc>
        <w:tc>
          <w:tcPr>
            <w:tcW w:type="dxa" w:w="72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Yes</w:t>
            </w:r>
          </w:p>
        </w:tc>
        <w:tc>
          <w:tcPr>
            <w:tcW w:type="dxa" w:w="1838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</w:r>
          </w:p>
        </w:tc>
      </w:tr>
      <w:tr>
        <w:tc>
          <w:tcPr>
            <w:tcW w:type="dxa" w:w="36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19</w:t>
            </w:r>
          </w:p>
        </w:tc>
        <w:tc>
          <w:tcPr>
            <w:tcW w:type="dxa" w:w="130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/>
                <w:i w:val="0"/>
                <w:color w:val="202A35"/>
                <w:sz w:val="14"/>
              </w:rPr>
              <w:t>Wet-area performance</w:t>
            </w:r>
          </w:p>
        </w:tc>
        <w:tc>
          <w:tcPr>
            <w:tcW w:type="dxa" w:w="380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Slip, moisture, corrosion, mounting, drainage, and cleaning risks are acceptable in the installed bathroom.</w:t>
            </w:r>
          </w:p>
        </w:tc>
        <w:tc>
          <w:tcPr>
            <w:tcW w:type="dxa" w:w="267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Wet-area mockup and cleaning trial</w:t>
            </w:r>
          </w:p>
        </w:tc>
        <w:tc>
          <w:tcPr>
            <w:tcW w:type="dxa" w:w="72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Yes</w:t>
            </w:r>
          </w:p>
        </w:tc>
        <w:tc>
          <w:tcPr>
            <w:tcW w:type="dxa" w:w="1838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</w:r>
          </w:p>
        </w:tc>
      </w:tr>
      <w:tr>
        <w:tc>
          <w:tcPr>
            <w:tcW w:type="dxa" w:w="36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20</w:t>
            </w:r>
          </w:p>
        </w:tc>
        <w:tc>
          <w:tcPr>
            <w:tcW w:type="dxa" w:w="130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/>
                <w:i w:val="0"/>
                <w:color w:val="202A35"/>
                <w:sz w:val="14"/>
              </w:rPr>
              <w:t>Chemical and skin contact</w:t>
            </w:r>
          </w:p>
        </w:tc>
        <w:tc>
          <w:tcPr>
            <w:tcW w:type="dxa" w:w="380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Ingredients, warnings, packaging, leakage, traceability, labeling, and refill controls are acceptable.</w:t>
            </w:r>
          </w:p>
        </w:tc>
        <w:tc>
          <w:tcPr>
            <w:tcW w:type="dxa" w:w="267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Product file and handling trial</w:t>
            </w:r>
          </w:p>
        </w:tc>
        <w:tc>
          <w:tcPr>
            <w:tcW w:type="dxa" w:w="72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Yes</w:t>
            </w:r>
          </w:p>
        </w:tc>
        <w:tc>
          <w:tcPr>
            <w:tcW w:type="dxa" w:w="1838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</w:r>
          </w:p>
        </w:tc>
      </w:tr>
      <w:tr>
        <w:tc>
          <w:tcPr>
            <w:tcW w:type="dxa" w:w="36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21</w:t>
            </w:r>
          </w:p>
        </w:tc>
        <w:tc>
          <w:tcPr>
            <w:tcW w:type="dxa" w:w="130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/>
                <w:i w:val="0"/>
                <w:color w:val="202A35"/>
                <w:sz w:val="14"/>
              </w:rPr>
              <w:t>Cleaning compatibility</w:t>
            </w:r>
          </w:p>
        </w:tc>
        <w:tc>
          <w:tcPr>
            <w:tcW w:type="dxa" w:w="380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The approved cleaning chemistry and method do not create damage, residue, loss of grip, or unsafe degradation.</w:t>
            </w:r>
          </w:p>
        </w:tc>
        <w:tc>
          <w:tcPr>
            <w:tcW w:type="dxa" w:w="267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Repeated cleaning trial</w:t>
            </w:r>
          </w:p>
        </w:tc>
        <w:tc>
          <w:tcPr>
            <w:tcW w:type="dxa" w:w="72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No</w:t>
            </w:r>
          </w:p>
        </w:tc>
        <w:tc>
          <w:tcPr>
            <w:tcW w:type="dxa" w:w="1838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</w:r>
          </w:p>
        </w:tc>
      </w:tr>
      <w:tr>
        <w:tc>
          <w:tcPr>
            <w:tcW w:type="dxa" w:w="36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22</w:t>
            </w:r>
          </w:p>
        </w:tc>
        <w:tc>
          <w:tcPr>
            <w:tcW w:type="dxa" w:w="130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/>
                <w:i w:val="0"/>
                <w:color w:val="202A35"/>
                <w:sz w:val="14"/>
              </w:rPr>
              <w:t>Housekeeping handling</w:t>
            </w:r>
          </w:p>
        </w:tc>
        <w:tc>
          <w:tcPr>
            <w:tcW w:type="dxa" w:w="380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Setup, reset, storage, lifting, replenishment, and removal can be completed safely and consistently.</w:t>
            </w:r>
          </w:p>
        </w:tc>
        <w:tc>
          <w:tcPr>
            <w:tcW w:type="dxa" w:w="267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Timed operational trial</w:t>
            </w:r>
          </w:p>
        </w:tc>
        <w:tc>
          <w:tcPr>
            <w:tcW w:type="dxa" w:w="72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No</w:t>
            </w:r>
          </w:p>
        </w:tc>
        <w:tc>
          <w:tcPr>
            <w:tcW w:type="dxa" w:w="1838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</w:r>
          </w:p>
        </w:tc>
      </w:tr>
      <w:tr>
        <w:tc>
          <w:tcPr>
            <w:tcW w:type="dxa" w:w="36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23</w:t>
            </w:r>
          </w:p>
        </w:tc>
        <w:tc>
          <w:tcPr>
            <w:tcW w:type="dxa" w:w="130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/>
                <w:i w:val="0"/>
                <w:color w:val="202A35"/>
                <w:sz w:val="14"/>
              </w:rPr>
              <w:t>Packaging and installation</w:t>
            </w:r>
          </w:p>
        </w:tc>
        <w:tc>
          <w:tcPr>
            <w:tcW w:type="dxa" w:w="380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Packaging protects the item and installation instructions prevent unsafe field improvisation.</w:t>
            </w:r>
          </w:p>
        </w:tc>
        <w:tc>
          <w:tcPr>
            <w:tcW w:type="dxa" w:w="267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Transit sample and installer review</w:t>
            </w:r>
          </w:p>
        </w:tc>
        <w:tc>
          <w:tcPr>
            <w:tcW w:type="dxa" w:w="72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No</w:t>
            </w:r>
          </w:p>
        </w:tc>
        <w:tc>
          <w:tcPr>
            <w:tcW w:type="dxa" w:w="1838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</w:r>
          </w:p>
        </w:tc>
      </w:tr>
      <w:tr>
        <w:tc>
          <w:tcPr>
            <w:tcW w:type="dxa" w:w="36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24</w:t>
            </w:r>
          </w:p>
        </w:tc>
        <w:tc>
          <w:tcPr>
            <w:tcW w:type="dxa" w:w="130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/>
                <w:i w:val="0"/>
                <w:color w:val="202A35"/>
                <w:sz w:val="14"/>
              </w:rPr>
              <w:t>Change control</w:t>
            </w:r>
          </w:p>
        </w:tc>
        <w:tc>
          <w:tcPr>
            <w:tcW w:type="dxa" w:w="380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Supplier substitutions and changes to components, factory, materials, software, or artwork require written approval.</w:t>
            </w:r>
          </w:p>
        </w:tc>
        <w:tc>
          <w:tcPr>
            <w:tcW w:type="dxa" w:w="267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Purchase-order clause</w:t>
            </w:r>
          </w:p>
        </w:tc>
        <w:tc>
          <w:tcPr>
            <w:tcW w:type="dxa" w:w="72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Yes</w:t>
            </w:r>
          </w:p>
        </w:tc>
        <w:tc>
          <w:tcPr>
            <w:tcW w:type="dxa" w:w="1838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</w:r>
          </w:p>
        </w:tc>
      </w:tr>
      <w:tr>
        <w:tc>
          <w:tcPr>
            <w:tcW w:type="dxa" w:w="36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25</w:t>
            </w:r>
          </w:p>
        </w:tc>
        <w:tc>
          <w:tcPr>
            <w:tcW w:type="dxa" w:w="130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/>
                <w:i w:val="0"/>
                <w:color w:val="202A35"/>
                <w:sz w:val="14"/>
              </w:rPr>
              <w:t>Production verification</w:t>
            </w:r>
          </w:p>
        </w:tc>
        <w:tc>
          <w:tcPr>
            <w:tcW w:type="dxa" w:w="380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Inspection criteria, defect classes, sampling or test frequency, and evidence retention are defined.</w:t>
            </w:r>
          </w:p>
        </w:tc>
        <w:tc>
          <w:tcPr>
            <w:tcW w:type="dxa" w:w="267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Quality plan</w:t>
            </w:r>
          </w:p>
        </w:tc>
        <w:tc>
          <w:tcPr>
            <w:tcW w:type="dxa" w:w="720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Yes</w:t>
            </w:r>
          </w:p>
        </w:tc>
        <w:tc>
          <w:tcPr>
            <w:tcW w:type="dxa" w:w="1838"/>
            <w:vAlign w:val="center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</w:r>
          </w:p>
        </w:tc>
      </w:tr>
      <w:tr>
        <w:tc>
          <w:tcPr>
            <w:tcW w:type="dxa" w:w="36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26</w:t>
            </w:r>
          </w:p>
        </w:tc>
        <w:tc>
          <w:tcPr>
            <w:tcW w:type="dxa" w:w="130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/>
                <w:i w:val="0"/>
                <w:color w:val="202A35"/>
                <w:sz w:val="14"/>
              </w:rPr>
              <w:t>Receiving and turnover</w:t>
            </w:r>
          </w:p>
        </w:tc>
        <w:tc>
          <w:tcPr>
            <w:tcW w:type="dxa" w:w="380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Receiving checks, quarantine rules, asset records, staff training, and maintenance intervals are assigned.</w:t>
            </w:r>
          </w:p>
        </w:tc>
        <w:tc>
          <w:tcPr>
            <w:tcW w:type="dxa" w:w="267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Turnover plan</w:t>
            </w:r>
          </w:p>
        </w:tc>
        <w:tc>
          <w:tcPr>
            <w:tcW w:type="dxa" w:w="720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  <w:t>Yes</w:t>
            </w:r>
          </w:p>
        </w:tc>
        <w:tc>
          <w:tcPr>
            <w:tcW w:type="dxa" w:w="1838"/>
            <w:vAlign w:val="center"/>
            <w:shd w:fill="F4F7F9"/>
            <w:tcMar>
              <w:top w:w="70" w:type="dxa"/>
              <w:start w:w="90" w:type="dxa"/>
              <w:bottom w:w="70" w:type="dxa"/>
              <w:end w:w="90" w:type="dxa"/>
            </w:tcMar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i w:val="0"/>
                <w:color w:val="202A35"/>
                <w:sz w:val="14"/>
              </w:rPr>
            </w:r>
          </w:p>
        </w:tc>
      </w:tr>
    </w:tbl>
    <w:p>
      <w:pPr>
        <w:spacing w:before="120" w:after="0"/>
      </w:pPr>
      <w:r>
        <w:rPr>
          <w:rFonts w:ascii="Aptos" w:hAnsi="Aptos"/>
          <w:b/>
          <w:i w:val="0"/>
          <w:color w:val="0A2342"/>
          <w:sz w:val="16"/>
        </w:rPr>
        <w:t xml:space="preserve">Use note: </w:t>
      </w:r>
      <w:r>
        <w:rPr>
          <w:rFonts w:ascii="Aptos" w:hAnsi="Aptos"/>
          <w:b w:val="0"/>
          <w:i w:val="0"/>
          <w:color w:val="5F6B76"/>
          <w:sz w:val="16"/>
        </w:rPr>
        <w:t>This checklist supports procurement review and does not replace project-specific review by qualified professionals or authorities.</w:t>
      </w:r>
    </w:p>
    <w:sectPr w:rsidR="00FC693F" w:rsidRPr="0006063C" w:rsidSect="00034616">
      <w:headerReference w:type="default" r:id="rId9"/>
      <w:footerReference w:type="default" r:id="rId10"/>
      <w:pgSz w:w="15840" w:h="12240" w:orient="landscape"/>
      <w:pgMar w:top="648" w:right="648" w:bottom="648" w:left="648" w:header="432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ptos" w:hAnsi="Aptos"/>
        <w:b w:val="0"/>
        <w:i w:val="0"/>
        <w:color w:val="5F6B76"/>
        <w:sz w:val="16"/>
      </w:rPr>
      <w:t xml:space="preserve">KWHospitality.com  •  </w:t>
    </w:r>
    <w:r>
      <w:fldChar w:fldCharType="begin"/>
    </w:r>
    <w:r>
      <w:instrText xml:space="preserve">PAGE</w:instrText>
    </w:r>
    <w:r>
      <w:fldChar w:fldCharType="separate"/>
    </w:r>
    <w:r>
      <w:rPr>
        <w:rFonts w:ascii="Aptos" w:hAnsi="Aptos"/>
        <w:b w:val="0"/>
        <w:i w:val="0"/>
        <w:color w:val="5F6B76"/>
        <w:sz w:val="16"/>
      </w:rPr>
      <w:t>1</w:t>
    </w:r>
    <w:r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rPr>
        <w:rFonts w:ascii="Aptos" w:hAnsi="Aptos"/>
        <w:b/>
        <w:i w:val="0"/>
        <w:color w:val="0A2342"/>
        <w:sz w:val="16"/>
      </w:rPr>
      <w:t>KW HOSPITALITY  /  BUYER RESOURCES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76" w:lineRule="auto"/>
    </w:pPr>
    <w:rPr>
      <w:rFonts w:ascii="Aptos" w:hAnsi="Aptos"/>
      <w:color w:val="202A35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80" w:after="12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0A2342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0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0A234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 w:after="8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35536D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Guest Room Supplies Safety and Accessibility Buyer Checklist</dc:title>
  <dc:subject>Guest room supplies safety and accessibility procurement review</dc:subject>
  <dc:creator>KW Hospitality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